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11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Middleton Fred A</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CalciMedica,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CALC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CALCIMEDICA, INC.</w:t>
            </w:r>
          </w:p>
        </w:tc>
        <w:tc>
          <w:tcPr>
            <w:tcW w:w="14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505 COAST BLVD. S. #307</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117"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LA JOLLA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11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06/25/2026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P</w:t>
            </w:r>
            <w:r>
              <w:rPr>
                <w:rFonts w:ascii="Times New Roman" w:cs="Times New Roman" w:eastAsia="Times New Roman" w:hAnsi="Times New Roman"/>
                <w:sz w:val="11"/>
                <w:szCs w:val="11"/>
                <w:color w:val="008000"/>
              </w:rPr>
              <w:t>(1)</w:t>
            </w:r>
          </w:p>
        </w:tc>
        <w:tc>
          <w:tcPr>
            <w:tcW w:w="7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248,972</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0.8033</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w w:val="99"/>
              </w:rPr>
              <w:t>1,063,272</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VI</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946,744</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VI,</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22,479</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VI</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7,456</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VI</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Beteligungs</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GmbH &amp; Co</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KG</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8,884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VI Limited</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435,148</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114,260</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Ventures VII</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(Canada),</w:t>
            </w:r>
          </w:p>
        </w:tc>
        <w:tc>
          <w:tcPr>
            <w:tcW w:w="0" w:type="dxa"/>
            <w:vAlign w:val="bottom"/>
          </w:tcPr>
          <w:p>
            <w:pPr>
              <w:spacing w:after="0"/>
              <w:rPr>
                <w:sz w:val="1"/>
                <w:szCs w:val="1"/>
                <w:color w:val="auto"/>
              </w:rPr>
            </w:pPr>
          </w:p>
        </w:tc>
      </w:tr>
      <w:tr>
        <w:trPr>
          <w:trHeight w:val="281"/>
        </w:trPr>
        <w:tc>
          <w:tcPr>
            <w:tcW w:w="23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11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5157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515747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7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27,609</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Ventures VII</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Annex Fund,</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Sanderling</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30,292</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01"/>
        </w:trPr>
        <w:tc>
          <w:tcPr>
            <w:tcW w:w="2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VII</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By Golden</w:t>
      </w:r>
    </w:p>
    <w:p>
      <w:pPr>
        <w:ind w:left="80"/>
        <w:spacing w:after="0" w:line="209" w:lineRule="auto"/>
        <w:tabs>
          <w:tab w:leader="none" w:pos="8220" w:val="left"/>
          <w:tab w:leader="none" w:pos="9400" w:val="left"/>
          <w:tab w:leader="none" w:pos="996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8,176</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5"/>
          <w:szCs w:val="25"/>
          <w:color w:val="0000FF"/>
          <w:vertAlign w:val="superscript"/>
        </w:rPr>
        <w:t>Triangle</w:t>
      </w:r>
    </w:p>
    <w:p>
      <w:pPr>
        <w:spacing w:after="0" w:line="1"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Ventures,</w:t>
      </w:r>
    </w:p>
    <w:p>
      <w:pPr>
        <w:ind w:left="9980"/>
        <w:spacing w:after="0" w:line="187" w:lineRule="auto"/>
        <w:rPr>
          <w:sz w:val="20"/>
          <w:szCs w:val="20"/>
          <w:color w:val="auto"/>
        </w:rPr>
      </w:pPr>
      <w:r>
        <w:rPr>
          <w:rFonts w:ascii="Times New Roman" w:cs="Times New Roman" w:eastAsia="Times New Roman" w:hAnsi="Times New Roman"/>
          <w:sz w:val="25"/>
          <w:szCs w:val="25"/>
          <w:color w:val="0000FF"/>
          <w:vertAlign w:val="subscript"/>
        </w:rPr>
        <w:t>LLC</w:t>
      </w:r>
      <w:r>
        <w:rPr>
          <w:rFonts w:ascii="Times New Roman" w:cs="Times New Roman" w:eastAsia="Times New Roman" w:hAnsi="Times New Roman"/>
          <w:sz w:val="10"/>
          <w:szCs w:val="10"/>
          <w:color w:val="008000"/>
        </w:rPr>
        <w:t>(6)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36,514</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7"/>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9. Number of</w:t>
            </w:r>
          </w:p>
        </w:tc>
        <w:tc>
          <w:tcPr>
            <w:tcW w:w="92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acquired from the Issuer pursuant to a Securities Purchase Agreement dated June 23, 2026, with a closing date of June 25, 2026. The Securities Purchase Agreement and the issuance of the securities thereunder was approved by an independent committee of the Issuer's Board of Directors.</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director of Sanderling Ventures, may be deemed to beneficially own the securities of the Issuer held by Sanderling Venture Partners VI Co-Investment Fund, LP ("SVP VI Co-Investment, LP", together with Sanderling Venture Partners VI, LP., Sanderling VI Beteiligungs GmbH &amp; Co. KG, Sanderling Ventures Management VI and Sanderling VI Limited Partnership (the "Sanderling VI Securities").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director of Sanderling Ventures, may be deemed to beneficially own the Sanderling VI Securities. The Reporting Person disclaims beneficial ownership of these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director of Sanderling Ventures, may be deemed to beneficially own the securities of the Issuer held by Sanderling Ventures VII, LP ("SVP VII, LP", together with Sanderling Ventures Management VII, Sanderling Ventures VII (Canada), L.P. and Sanderling Ventures VII Annex Fund, L.P., the "Sanderling VII Securities"). The Reporting Person disclaims beneficial ownership of these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director of Sanderling Ventures, may be deemed to beneficially own the Sanderling VII Securities. The Reporting Person disclaims beneficial ownership of these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Golden Triangle Ventures LLC and may be deemed to beneficially own the securities of the Issuer held by Golden Triangle Ventures LLC. The Reporting Person disclaims beneficial ownership of these securities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Dunn,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67959" TargetMode="External"/><Relationship Id="rId14" Type="http://schemas.openxmlformats.org/officeDocument/2006/relationships/hyperlink" Target="http://www.sec.gov/cgi-bin/browse-edgar?action=getcompany&amp;CIK=000153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2026-06-29T07:46:52Z</dcterms:created>
  <dcterms:modified xsi:type="dcterms:W3CDTF">2026-06-29T07:46:52Z</dcterms:modified>
</cp:coreProperties>
</file>